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学校信息与择校对比表</w:t>
      </w:r>
    </w:p>
    <w:p>
      <w:pPr>
        <w:jc w:val="center"/>
      </w:pPr>
      <w:r>
        <w:rPr>
          <w:rFonts w:ascii="Hiragino Sans GB" w:hAnsi="Hiragino Sans GB" w:eastAsia="Hiragino Sans GB"/>
          <w:b w:val="0"/>
          <w:color w:val="4A5568"/>
          <w:sz w:val="20"/>
        </w:rPr>
        <w:t>用家庭适配代替单一排名</w:t>
      </w:r>
    </w:p>
    <w:p>
      <w:r>
        <w:rPr>
          <w:rFonts w:ascii="Hiragino Sans GB" w:hAnsi="Hiragino Sans GB" w:eastAsia="Hiragino Sans GB"/>
          <w:b w:val="0"/>
          <w:color w:val="000000"/>
          <w:sz w:val="21"/>
        </w:rPr>
        <w:t>这份表用于比较学校是否适合孩子和家庭，不用于制作学校排名。先确认入学资格和可选范围，再比较通勤、课程、管理、住宿、费用和孩子适应度。无法核实的信息留空，不用传闻补齐。</w:t>
      </w:r>
    </w:p>
    <w:p>
      <w:pPr>
        <w:pStyle w:val="Heading1"/>
      </w:pPr>
      <w:r>
        <w:t>一 家庭需求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</w:tblPr>
      <w:tblGrid>
        <w:gridCol w:w="3389"/>
        <w:gridCol w:w="3389"/>
        <w:gridCol w:w="3389"/>
      </w:tblGrid>
      <w:tr>
        <w:trPr>
          <w:tblHeader w:val="true"/>
        </w:trPr>
        <w:tc>
          <w:tcPr>
            <w:tcW w:type="dxa" w:w="2304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项目</w:t>
            </w:r>
          </w:p>
        </w:tc>
        <w:tc>
          <w:tcPr>
            <w:tcW w:type="dxa" w:w="3744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家庭底线</w:t>
            </w:r>
          </w:p>
        </w:tc>
        <w:tc>
          <w:tcPr>
            <w:tcW w:type="dxa" w:w="3816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可接受范围</w:t>
            </w:r>
          </w:p>
        </w:tc>
      </w:tr>
      <w:tr>
        <w:tc>
          <w:tcPr>
            <w:tcW w:type="dxa" w:w="2304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单程通勤</w:t>
            </w:r>
          </w:p>
        </w:tc>
        <w:tc>
          <w:tcPr>
            <w:tcW w:type="dxa" w:w="3744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3816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  <w:tr>
        <w:tc>
          <w:tcPr>
            <w:tcW w:type="dxa" w:w="2304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住宿需求</w:t>
            </w:r>
          </w:p>
        </w:tc>
        <w:tc>
          <w:tcPr>
            <w:tcW w:type="dxa" w:w="3744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3816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  <w:tr>
        <w:tc>
          <w:tcPr>
            <w:tcW w:type="dxa" w:w="2304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年度费用</w:t>
            </w:r>
          </w:p>
        </w:tc>
        <w:tc>
          <w:tcPr>
            <w:tcW w:type="dxa" w:w="3744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3816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  <w:tr>
        <w:tc>
          <w:tcPr>
            <w:tcW w:type="dxa" w:w="2304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作息与管理</w:t>
            </w:r>
          </w:p>
        </w:tc>
        <w:tc>
          <w:tcPr>
            <w:tcW w:type="dxa" w:w="3744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3816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  <w:tr>
        <w:tc>
          <w:tcPr>
            <w:tcW w:type="dxa" w:w="2304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课程侧重</w:t>
            </w:r>
          </w:p>
        </w:tc>
        <w:tc>
          <w:tcPr>
            <w:tcW w:type="dxa" w:w="3744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3816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  <w:tr>
        <w:tc>
          <w:tcPr>
            <w:tcW w:type="dxa" w:w="2304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孩子适应特点</w:t>
            </w:r>
          </w:p>
        </w:tc>
        <w:tc>
          <w:tcPr>
            <w:tcW w:type="dxa" w:w="3744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3816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</w:tbl>
    <w:p>
      <w:pPr>
        <w:spacing w:after="0"/>
      </w:pPr>
    </w:p>
    <w:p>
      <w:pPr>
        <w:pStyle w:val="Heading1"/>
      </w:pPr>
      <w:r>
        <w:t>二 学校基础信息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</w:tblPr>
      <w:tblGrid>
        <w:gridCol w:w="2541"/>
        <w:gridCol w:w="2541"/>
        <w:gridCol w:w="2541"/>
        <w:gridCol w:w="2541"/>
      </w:tblGrid>
      <w:tr>
        <w:trPr>
          <w:tblHeader w:val="true"/>
        </w:trPr>
        <w:tc>
          <w:tcPr>
            <w:tcW w:type="dxa" w:w="2520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项目</w:t>
            </w:r>
          </w:p>
        </w:tc>
        <w:tc>
          <w:tcPr>
            <w:tcW w:type="dxa" w:w="2448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学校A</w:t>
            </w:r>
          </w:p>
        </w:tc>
        <w:tc>
          <w:tcPr>
            <w:tcW w:type="dxa" w:w="2448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学校B</w:t>
            </w:r>
          </w:p>
        </w:tc>
        <w:tc>
          <w:tcPr>
            <w:tcW w:type="dxa" w:w="2448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学校C</w:t>
            </w:r>
          </w:p>
        </w:tc>
      </w:tr>
      <w:tr>
        <w:tc>
          <w:tcPr>
            <w:tcW w:type="dxa" w:w="252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学校全称及校区</w:t>
            </w:r>
          </w:p>
        </w:tc>
        <w:tc>
          <w:tcPr>
            <w:tcW w:type="dxa" w:w="2448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448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448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  <w:tr>
        <w:tc>
          <w:tcPr>
            <w:tcW w:type="dxa" w:w="2520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公办或民办</w:t>
            </w:r>
          </w:p>
        </w:tc>
        <w:tc>
          <w:tcPr>
            <w:tcW w:type="dxa" w:w="2448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448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448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  <w:tr>
        <w:tc>
          <w:tcPr>
            <w:tcW w:type="dxa" w:w="252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招生范围及资格</w:t>
            </w:r>
          </w:p>
        </w:tc>
        <w:tc>
          <w:tcPr>
            <w:tcW w:type="dxa" w:w="2448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448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448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  <w:tr>
        <w:tc>
          <w:tcPr>
            <w:tcW w:type="dxa" w:w="2520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通勤时间</w:t>
            </w:r>
          </w:p>
        </w:tc>
        <w:tc>
          <w:tcPr>
            <w:tcW w:type="dxa" w:w="2448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448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448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  <w:tr>
        <w:tc>
          <w:tcPr>
            <w:tcW w:type="dxa" w:w="252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住宿条件</w:t>
            </w:r>
          </w:p>
        </w:tc>
        <w:tc>
          <w:tcPr>
            <w:tcW w:type="dxa" w:w="2448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448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448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  <w:tr>
        <w:tc>
          <w:tcPr>
            <w:tcW w:type="dxa" w:w="2520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学费及必要费用</w:t>
            </w:r>
          </w:p>
        </w:tc>
        <w:tc>
          <w:tcPr>
            <w:tcW w:type="dxa" w:w="2448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448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448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  <w:tr>
        <w:tc>
          <w:tcPr>
            <w:tcW w:type="dxa" w:w="252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官方咨询方式</w:t>
            </w:r>
          </w:p>
        </w:tc>
        <w:tc>
          <w:tcPr>
            <w:tcW w:type="dxa" w:w="2448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448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448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  <w:tr>
        <w:tc>
          <w:tcPr>
            <w:tcW w:type="dxa" w:w="2520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信息来源日期</w:t>
            </w:r>
          </w:p>
        </w:tc>
        <w:tc>
          <w:tcPr>
            <w:tcW w:type="dxa" w:w="2448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448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448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</w:tbl>
    <w:p>
      <w:pPr>
        <w:spacing w:after="0"/>
      </w:pPr>
    </w:p>
    <w:p>
      <w:pPr>
        <w:pStyle w:val="Heading1"/>
      </w:pPr>
      <w:r>
        <w:t>三 学习与生活适配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</w:tblPr>
      <w:tblGrid>
        <w:gridCol w:w="2541"/>
        <w:gridCol w:w="2541"/>
        <w:gridCol w:w="2541"/>
        <w:gridCol w:w="2541"/>
      </w:tblGrid>
      <w:tr>
        <w:trPr>
          <w:tblHeader w:val="true"/>
        </w:trPr>
        <w:tc>
          <w:tcPr>
            <w:tcW w:type="dxa" w:w="2520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维度</w:t>
            </w:r>
          </w:p>
        </w:tc>
        <w:tc>
          <w:tcPr>
            <w:tcW w:type="dxa" w:w="2448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学校A</w:t>
            </w:r>
          </w:p>
        </w:tc>
        <w:tc>
          <w:tcPr>
            <w:tcW w:type="dxa" w:w="2448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学校B</w:t>
            </w:r>
          </w:p>
        </w:tc>
        <w:tc>
          <w:tcPr>
            <w:tcW w:type="dxa" w:w="2448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学校C</w:t>
            </w:r>
          </w:p>
        </w:tc>
      </w:tr>
      <w:tr>
        <w:tc>
          <w:tcPr>
            <w:tcW w:type="dxa" w:w="252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课程设置</w:t>
            </w:r>
          </w:p>
        </w:tc>
        <w:tc>
          <w:tcPr>
            <w:tcW w:type="dxa" w:w="2448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448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448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  <w:tr>
        <w:tc>
          <w:tcPr>
            <w:tcW w:type="dxa" w:w="2520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作业与学习节奏</w:t>
            </w:r>
          </w:p>
        </w:tc>
        <w:tc>
          <w:tcPr>
            <w:tcW w:type="dxa" w:w="2448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448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448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  <w:tr>
        <w:tc>
          <w:tcPr>
            <w:tcW w:type="dxa" w:w="252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班级与管理方式</w:t>
            </w:r>
          </w:p>
        </w:tc>
        <w:tc>
          <w:tcPr>
            <w:tcW w:type="dxa" w:w="2448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448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448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  <w:tr>
        <w:tc>
          <w:tcPr>
            <w:tcW w:type="dxa" w:w="2520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社团与活动</w:t>
            </w:r>
          </w:p>
        </w:tc>
        <w:tc>
          <w:tcPr>
            <w:tcW w:type="dxa" w:w="2448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448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448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  <w:tr>
        <w:tc>
          <w:tcPr>
            <w:tcW w:type="dxa" w:w="252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食宿与校园生活</w:t>
            </w:r>
          </w:p>
        </w:tc>
        <w:tc>
          <w:tcPr>
            <w:tcW w:type="dxa" w:w="2448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448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448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  <w:tr>
        <w:tc>
          <w:tcPr>
            <w:tcW w:type="dxa" w:w="2520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家校沟通</w:t>
            </w:r>
          </w:p>
        </w:tc>
        <w:tc>
          <w:tcPr>
            <w:tcW w:type="dxa" w:w="2448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448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448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  <w:tr>
        <w:tc>
          <w:tcPr>
            <w:tcW w:type="dxa" w:w="252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孩子主观感受</w:t>
            </w:r>
          </w:p>
        </w:tc>
        <w:tc>
          <w:tcPr>
            <w:tcW w:type="dxa" w:w="2448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448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448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</w:tbl>
    <w:p>
      <w:pPr>
        <w:spacing w:after="0"/>
      </w:pPr>
    </w:p>
    <w:p>
      <w:pPr>
        <w:pStyle w:val="Heading1"/>
      </w:pPr>
      <w:r>
        <w:t>四 决策评分</w:t>
      </w:r>
    </w:p>
    <w:p>
      <w:r>
        <w:rPr>
          <w:rFonts w:ascii="Hiragino Sans GB" w:hAnsi="Hiragino Sans GB" w:eastAsia="Hiragino Sans GB"/>
          <w:b w:val="0"/>
          <w:color w:val="000000"/>
          <w:sz w:val="21"/>
        </w:rPr>
        <w:t>先为每个维度填写权重，再按1至5分评分。不要给未核实的信息打高分。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</w:tblPr>
      <w:tblGrid>
        <w:gridCol w:w="2033"/>
        <w:gridCol w:w="2033"/>
        <w:gridCol w:w="2033"/>
        <w:gridCol w:w="2033"/>
        <w:gridCol w:w="2033"/>
      </w:tblGrid>
      <w:tr>
        <w:trPr>
          <w:tblHeader w:val="true"/>
        </w:trPr>
        <w:tc>
          <w:tcPr>
            <w:tcW w:type="dxa" w:w="2448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维度</w:t>
            </w:r>
          </w:p>
        </w:tc>
        <w:tc>
          <w:tcPr>
            <w:tcW w:type="dxa" w:w="1440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权重</w:t>
            </w:r>
          </w:p>
        </w:tc>
        <w:tc>
          <w:tcPr>
            <w:tcW w:type="dxa" w:w="2016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学校A</w:t>
            </w:r>
          </w:p>
        </w:tc>
        <w:tc>
          <w:tcPr>
            <w:tcW w:type="dxa" w:w="2016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学校B</w:t>
            </w:r>
          </w:p>
        </w:tc>
        <w:tc>
          <w:tcPr>
            <w:tcW w:type="dxa" w:w="2016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学校C</w:t>
            </w:r>
          </w:p>
        </w:tc>
      </w:tr>
      <w:tr>
        <w:tc>
          <w:tcPr>
            <w:tcW w:type="dxa" w:w="2448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入学可行性</w:t>
            </w:r>
          </w:p>
        </w:tc>
        <w:tc>
          <w:tcPr>
            <w:tcW w:type="dxa" w:w="144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016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016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016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  <w:tr>
        <w:tc>
          <w:tcPr>
            <w:tcW w:type="dxa" w:w="2448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通勤与作息</w:t>
            </w:r>
          </w:p>
        </w:tc>
        <w:tc>
          <w:tcPr>
            <w:tcW w:type="dxa" w:w="1440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016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016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016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  <w:tr>
        <w:tc>
          <w:tcPr>
            <w:tcW w:type="dxa" w:w="2448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学习适配</w:t>
            </w:r>
          </w:p>
        </w:tc>
        <w:tc>
          <w:tcPr>
            <w:tcW w:type="dxa" w:w="144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016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016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016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  <w:tr>
        <w:tc>
          <w:tcPr>
            <w:tcW w:type="dxa" w:w="2448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身心与社交适配</w:t>
            </w:r>
          </w:p>
        </w:tc>
        <w:tc>
          <w:tcPr>
            <w:tcW w:type="dxa" w:w="1440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016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016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016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  <w:tr>
        <w:tc>
          <w:tcPr>
            <w:tcW w:type="dxa" w:w="2448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家庭成本</w:t>
            </w:r>
          </w:p>
        </w:tc>
        <w:tc>
          <w:tcPr>
            <w:tcW w:type="dxa" w:w="144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016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016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016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  <w:tr>
        <w:tc>
          <w:tcPr>
            <w:tcW w:type="dxa" w:w="2448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信息可信度</w:t>
            </w:r>
          </w:p>
        </w:tc>
        <w:tc>
          <w:tcPr>
            <w:tcW w:type="dxa" w:w="1440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016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016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016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  <w:tr>
        <w:tc>
          <w:tcPr>
            <w:tcW w:type="dxa" w:w="2448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总评</w:t>
            </w:r>
          </w:p>
        </w:tc>
        <w:tc>
          <w:tcPr>
            <w:tcW w:type="dxa" w:w="144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016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016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  <w:tc>
          <w:tcPr>
            <w:tcW w:type="dxa" w:w="2016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</w:r>
          </w:p>
        </w:tc>
      </w:tr>
    </w:tbl>
    <w:p>
      <w:pPr>
        <w:spacing w:after="0"/>
      </w:pPr>
    </w:p>
    <w:p>
      <w:pPr>
        <w:pStyle w:val="Heading1"/>
      </w:pPr>
      <w:r>
        <w:t>五 最终核验</w:t>
      </w:r>
    </w:p>
    <w:p>
      <w:pPr>
        <w:ind w:left="115"/>
      </w:pPr>
      <w:r>
        <w:rPr>
          <w:rFonts w:ascii="Hiragino Sans GB" w:hAnsi="Hiragino Sans GB" w:eastAsia="Hiragino Sans GB"/>
          <w:b w:val="0"/>
          <w:color w:val="000000"/>
          <w:sz w:val="21"/>
        </w:rPr>
        <w:t>☐ 所有候选学校都在家庭真实可申请范围内。</w:t>
      </w:r>
    </w:p>
    <w:p>
      <w:pPr>
        <w:ind w:left="115"/>
      </w:pPr>
      <w:r>
        <w:rPr>
          <w:rFonts w:ascii="Hiragino Sans GB" w:hAnsi="Hiragino Sans GB" w:eastAsia="Hiragino Sans GB"/>
          <w:b w:val="0"/>
          <w:color w:val="000000"/>
          <w:sz w:val="21"/>
        </w:rPr>
        <w:t>☐ 校区、招生范围、费用、住宿和通勤信息来自官方或实地核实。</w:t>
      </w:r>
    </w:p>
    <w:p>
      <w:pPr>
        <w:ind w:left="115"/>
      </w:pPr>
      <w:r>
        <w:rPr>
          <w:rFonts w:ascii="Hiragino Sans GB" w:hAnsi="Hiragino Sans GB" w:eastAsia="Hiragino Sans GB"/>
          <w:b w:val="0"/>
          <w:color w:val="000000"/>
          <w:sz w:val="21"/>
        </w:rPr>
        <w:t>☐ 至少和孩子完整讨论一次，不只比较家长偏好。</w:t>
      </w:r>
    </w:p>
    <w:p>
      <w:pPr>
        <w:ind w:left="115"/>
      </w:pPr>
      <w:r>
        <w:rPr>
          <w:rFonts w:ascii="Hiragino Sans GB" w:hAnsi="Hiragino Sans GB" w:eastAsia="Hiragino Sans GB"/>
          <w:b w:val="0"/>
          <w:color w:val="000000"/>
          <w:sz w:val="21"/>
        </w:rPr>
        <w:t>☐ 保留一个现实可执行的备选方案，并记录关键时间。</w:t>
      </w:r>
    </w:p>
    <w:sectPr w:rsidR="00FC693F" w:rsidRPr="0006063C" w:rsidSect="00034616">
      <w:footerReference w:type="default" r:id="rId9"/>
      <w:pgSz w:w="12240" w:h="15840"/>
      <w:pgMar w:top="936" w:right="1037" w:bottom="936" w:left="103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重庆小升初网  实用资料</w:t>
    </w:r>
    <w:r>
      <w:fldSimple w:instr="PAGE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Hiragino Sans GB" w:hAnsi="Hiragino Sans GB" w:eastAsia="Hiragino Sans GB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00" w:after="100"/>
      <w:outlineLvl w:val="0"/>
    </w:pPr>
    <w:rPr>
      <w:rFonts w:asciiTheme="majorHAnsi" w:eastAsiaTheme="majorEastAsia" w:hAnsiTheme="majorHAnsi" w:cstheme="majorBidi" w:ascii="Hiragino Sans GB" w:hAnsi="Hiragino Sans GB" w:eastAsia="Hiragino Sans GB"/>
      <w:b/>
      <w:bCs/>
      <w:color w:val="000000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00"/>
      <w:outlineLvl w:val="1"/>
    </w:pPr>
    <w:rPr>
      <w:rFonts w:asciiTheme="majorHAnsi" w:eastAsiaTheme="majorEastAsia" w:hAnsiTheme="majorHAnsi" w:cstheme="majorBidi" w:ascii="Hiragino Sans GB" w:hAnsi="Hiragino Sans GB" w:eastAsia="Hiragino Sans GB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200"/>
      <w:contextualSpacing/>
    </w:pPr>
    <w:rPr>
      <w:rFonts w:asciiTheme="majorHAnsi" w:eastAsiaTheme="majorEastAsia" w:hAnsiTheme="majorHAnsi" w:cstheme="majorBidi" w:ascii="Hiragino Sans GB" w:hAnsi="Hiragino Sans GB" w:eastAsia="Hiragino Sans GB"/>
      <w:b/>
      <w:color w:val="000000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小升初升学资料</dc:subject>
  <dc:creator>重庆小升初网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